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SANDRA LORENA BERMÚDEZ</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Jefe de Oficina Centro de Administración Local Integrada – C.A.L.I</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color w:val="auto"/>
          <w:kern w:val="2"/>
          <w:sz w:val="24"/>
          <w:szCs w:val="24"/>
          <w:lang w:val="es-CO" w:eastAsia="ar-SA" w:bidi="ar-SA"/>
        </w:rPr>
        <w:t>Calle 44 con carrera 24C-01 Fenalco- Kennedy</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color w:val="auto"/>
          <w:kern w:val="2"/>
          <w:sz w:val="24"/>
          <w:szCs w:val="24"/>
          <w:lang w:val="es-CO" w:eastAsia="ar-SA" w:bidi="ar-SA"/>
        </w:rPr>
        <w:t>cali12@cali.gov.co</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 xml:space="preserve">Asunto: Respuesta a_ petición realizada por la comunidad. </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No.202441734120000534,</w:t>
      </w:r>
      <w:r>
        <w:rPr>
          <w:rFonts w:eastAsia="Arial" w:cs="Arial" w:ascii="Arial" w:hAnsi="Arial"/>
          <w:b w:val="false"/>
          <w:i w:val="false"/>
          <w:caps w:val="false"/>
          <w:smallCaps w:val="false"/>
          <w:strike w:val="false"/>
          <w:dstrike w:val="false"/>
          <w:color w:val="000000"/>
          <w:u w:val="none"/>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C9211E"/>
          <w:sz w:val="24"/>
          <w:szCs w:val="24"/>
          <w:u w:val="none"/>
          <w:effect w:val="none"/>
          <w:shd w:fill="FFFFFF" w:val="clear"/>
          <w:em w:val="none"/>
          <w:lang w:bidi="ar-SA"/>
        </w:rPr>
      </w:pPr>
      <w:r>
        <w:rPr>
          <w:rFonts w:eastAsia="Arial Unicode MS" w:cs="Times New Roman" w:ascii="Arial" w:hAnsi="Arial"/>
          <w:b w:val="false"/>
          <w:i w:val="false"/>
          <w:caps w:val="false"/>
          <w:smallCaps w:val="false"/>
          <w:strike w:val="false"/>
          <w:dstrike w:val="false"/>
          <w:outline w:val="false"/>
          <w:shadow w:val="false"/>
          <w:color w:val="C9211E"/>
          <w:sz w:val="24"/>
          <w:szCs w:val="24"/>
          <w:u w:val="none"/>
          <w:effect w:val="none"/>
          <w:shd w:fill="FFFFFF" w:val="clear"/>
          <w:em w:val="none"/>
          <w:lang w:bidi="ar-SA"/>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De acuerdo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con lo anterior, se realizó fumigación con máquina pesada en la comuna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12</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en</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los meses de febrero, abril, junio, julio, agosto y diciembre del 2024, donde se intervinieron 1.224</w:t>
      </w:r>
      <w:r>
        <w:rPr>
          <w:rFonts w:eastAsia="Arial Unicode MS" w:cs="Times New Roman" w:ascii="Arial" w:hAnsi="Arial"/>
          <w:b w:val="false"/>
          <w:bCs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manzanas y 56.100 casas</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Sin embargo,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1"/>
        <w:keepNext w:val="false"/>
        <w:keepLines w:val="false"/>
        <w:widowControl/>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Se realizó también fumigación intradomiciliar de viviendas, con motomochila, la cual es una actividad focalizada para casos de dengue grave y muerte probable por dengue, a la fecha se fumigaron 172 viviendas, en meses de junio, septiembre, octubre y diciembre del 2024 en los barrios el Paraiso, La Nueva floresta, Doce de Octubre y Villanueva de la comuna 12, respectivamente. </w:t>
      </w:r>
    </w:p>
    <w:p>
      <w:pPr>
        <w:pStyle w:val="LOnormal1"/>
        <w:widowControl/>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 xml:space="preserve">entro de las acciones regulares de prevención de la </w:t>
      </w:r>
      <w:r>
        <w:rPr>
          <w:rFonts w:ascii="Arial" w:hAnsi="Arial"/>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4"/>
          <w:u w:val="none"/>
          <w:effect w:val="none"/>
          <w:shd w:fill="auto" w:val="clear"/>
        </w:rPr>
        <w:t>se r</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ealizó</w:t>
      </w:r>
      <w:r>
        <w:rPr>
          <w:rFonts w:ascii="Arial" w:hAnsi="Arial"/>
          <w:b w:val="false"/>
          <w:i w:val="false"/>
          <w:caps w:val="false"/>
          <w:smallCaps w:val="false"/>
          <w:strike w:val="false"/>
          <w:dstrike w:val="false"/>
          <w:color w:val="000000"/>
          <w:sz w:val="24"/>
          <w:u w:val="none"/>
          <w:effect w:val="none"/>
          <w:shd w:fill="auto" w:val="clear"/>
        </w:rPr>
        <w:t xml:space="preserve"> un ciclo quincenal de control de larvas (revisión y aplicación larvicida) en sumideros recolectores de agua lluvia en vía pública, ya que este es un depósito óptimo para la reproducción de </w:t>
      </w:r>
      <w:r>
        <w:rPr>
          <w:rFonts w:ascii="Arial" w:hAnsi="Arial"/>
          <w:b w:val="false"/>
          <w:i/>
          <w:caps w:val="false"/>
          <w:smallCaps w:val="false"/>
          <w:strike w:val="false"/>
          <w:dstrike w:val="false"/>
          <w:color w:val="000000"/>
          <w:sz w:val="24"/>
          <w:u w:val="none"/>
          <w:effect w:val="none"/>
          <w:shd w:fill="auto" w:val="clear"/>
        </w:rPr>
        <w:t xml:space="preserve">Aedes aegypti </w:t>
      </w:r>
      <w:r>
        <w:rPr>
          <w:rFonts w:ascii="Arial" w:hAnsi="Arial"/>
          <w:b w:val="false"/>
          <w:i w:val="false"/>
          <w:caps w:val="false"/>
          <w:smallCaps w:val="false"/>
          <w:strike w:val="false"/>
          <w:dstrike w:val="false"/>
          <w:color w:val="000000"/>
          <w:sz w:val="24"/>
          <w:u w:val="none"/>
          <w:effect w:val="none"/>
          <w:shd w:fill="auto" w:val="clear"/>
        </w:rPr>
        <w:t xml:space="preserve">(mosquito que puede transmitir dengue). Durante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el</w:t>
      </w:r>
      <w:r>
        <w:rPr>
          <w:rFonts w:ascii="Arial" w:hAnsi="Arial"/>
          <w:b w:val="false"/>
          <w:i w:val="false"/>
          <w:caps w:val="false"/>
          <w:smallCaps w:val="false"/>
          <w:strike w:val="false"/>
          <w:dstrike w:val="false"/>
          <w:color w:val="000000"/>
          <w:sz w:val="24"/>
          <w:u w:val="none"/>
          <w:effect w:val="none"/>
          <w:shd w:fill="auto" w:val="clear"/>
        </w:rPr>
        <w:t xml:space="preserve"> </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año 2024,</w:t>
      </w:r>
      <w:r>
        <w:rPr>
          <w:rFonts w:ascii="Arial" w:hAnsi="Arial"/>
          <w:b w:val="false"/>
          <w:i w:val="false"/>
          <w:caps w:val="false"/>
          <w:smallCaps w:val="false"/>
          <w:strike w:val="false"/>
          <w:dstrike w:val="false"/>
          <w:color w:val="000000"/>
          <w:sz w:val="24"/>
          <w:u w:val="none"/>
          <w:effect w:val="none"/>
          <w:shd w:fill="auto" w:val="clear"/>
        </w:rPr>
        <w:t xml:space="preserve"> se tienen los siguientes resultados:</w:t>
      </w:r>
    </w:p>
    <w:tbl>
      <w:tblPr>
        <w:tblW w:w="9360" w:type="dxa"/>
        <w:jc w:val="left"/>
        <w:tblInd w:w="98" w:type="dxa"/>
        <w:tblLayout w:type="fixed"/>
        <w:tblCellMar>
          <w:top w:w="28" w:type="dxa"/>
          <w:left w:w="98" w:type="dxa"/>
          <w:bottom w:w="28" w:type="dxa"/>
          <w:right w:w="108" w:type="dxa"/>
        </w:tblCellMar>
      </w:tblPr>
      <w:tblGrid>
        <w:gridCol w:w="2998"/>
        <w:gridCol w:w="2506"/>
        <w:gridCol w:w="1861"/>
        <w:gridCol w:w="1994"/>
      </w:tblGrid>
      <w:tr>
        <w:trPr>
          <w:tblHeader w:val="true"/>
          <w:trHeight w:val="659" w:hRule="atLeast"/>
        </w:trPr>
        <w:tc>
          <w:tcPr>
            <w:tcW w:w="2998"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2506"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861"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994"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29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33F - TV 29 KR 23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39 - 33F KR 23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44 - TV 29 KR 27 - DG 28C</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70 - 44 KR 23 – 26</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70 - 44 ó DG 30 KR 26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70 - CL 44 KR 28D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44 - 39 KR 23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70 - DG 28C TV 28D - 29</w:t>
            </w:r>
          </w:p>
        </w:tc>
        <w:tc>
          <w:tcPr>
            <w:tcW w:w="2506"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bidi w:val="0"/>
              <w:spacing w:lineRule="auto" w:line="240"/>
              <w:jc w:val="both"/>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Alfonso Barberena - Santa Mónica Popular, Rodeo, Bello Horizonte – Paraiso, La Nueva Floresta - Fenalco Kenedy, Nueva Floresta, Sindical, Asturias, Julio Rincón - 12 De Octubre - Eduardo Santos.</w:t>
            </w:r>
          </w:p>
        </w:tc>
        <w:tc>
          <w:tcPr>
            <w:tcW w:w="1861"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widowControl w:val="false"/>
              <w:spacing w:lineRule="auto" w:line="240"/>
              <w:jc w:val="center"/>
              <w:rPr>
                <w:rFonts w:ascii="Arial" w:hAnsi="Arial"/>
                <w:b w:val="false"/>
                <w:b w:val="false"/>
                <w:bCs w:val="false"/>
                <w:color w:val="000000"/>
                <w:sz w:val="20"/>
                <w:szCs w:val="20"/>
              </w:rPr>
            </w:pPr>
            <w:r>
              <w:rPr>
                <w:rFonts w:ascii="Arial" w:hAnsi="Arial"/>
                <w:b w:val="false"/>
                <w:bCs w:val="false"/>
                <w:color w:val="000000"/>
                <w:sz w:val="20"/>
                <w:szCs w:val="20"/>
              </w:rPr>
              <w:t>21841</w:t>
            </w:r>
          </w:p>
        </w:tc>
        <w:tc>
          <w:tcPr>
            <w:tcW w:w="1994"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spacing w:lineRule="auto" w:line="240"/>
              <w:jc w:val="center"/>
              <w:rPr>
                <w:rFonts w:ascii="Arial" w:hAnsi="Arial" w:eastAsia="Arial Unicode MS" w:cs="Times New Roman"/>
                <w:b w:val="false"/>
                <w:b w:val="false"/>
                <w:bCs w:val="false"/>
                <w:color w:val="000000"/>
                <w:kern w:val="2"/>
                <w:sz w:val="20"/>
                <w:szCs w:val="20"/>
                <w:lang w:val="es-CO" w:eastAsia="ar-SA" w:bidi="ar-SA"/>
              </w:rPr>
            </w:pPr>
            <w:r>
              <w:rPr>
                <w:rFonts w:eastAsia="Arial Unicode MS" w:cs="Times New Roman" w:ascii="Arial" w:hAnsi="Arial"/>
                <w:b w:val="false"/>
                <w:bCs w:val="false"/>
                <w:i w:val="false"/>
                <w:strike w:val="false"/>
                <w:dstrike w:val="false"/>
                <w:outline w:val="false"/>
                <w:shadow w:val="false"/>
                <w:color w:val="000000"/>
                <w:kern w:val="2"/>
                <w:sz w:val="20"/>
                <w:szCs w:val="20"/>
                <w:u w:val="none"/>
                <w:em w:val="none"/>
                <w:lang w:val="es-CO" w:eastAsia="ar-SA" w:bidi="ar-SA"/>
              </w:rPr>
              <w:t>32019</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A su vez se realiza intervención en los lugares de concentración humana puesto que albergan alta densidad poblacional (permanente o en tránsito) y, por lo tanto, presentan una mayor probabilidad de transmisión de las ETV. A la fecha se han realizado 158 visitas de control larvario a Centros Comerciales, Centros Docentes o Educativos, Centros De Recreación, Entidades De Gobierno, Escuelas Saludables, Estaciones De Policía, Estaciones De Servicio, Guarderías, Hogares De Bienestar Familiar, Hogares Geriátricos, Hoteles, Instituciones De Salud, Instituciones Religiosas, Jardines Infantiles, Otras Instituciones, Parqueaderos, Talleres, Unidades Residenciales, Viveros, Vulcanizadoras</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 de la comuna 12</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Los resultados muestran que en 6 ocasiones se encontraron positivas, es decir, con criaderos del vector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Hogares De Bienestar Familiar (1), Instituciones Religiosas (4), y Otras Instituciones (1).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auto"/>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También, se realizaron visitas de control larvario a viviendas en la comuna 12,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donde los resultados mostraron que el </w:t>
      </w:r>
      <w:r>
        <w:rPr>
          <w:rFonts w:eastAsia="Arial Unicode MS" w:cs="Times New Roman" w:ascii="Arial" w:hAnsi="Arial"/>
          <w:b w:val="false"/>
          <w:i w:val="false"/>
          <w:iCs w:val="false"/>
          <w:caps w:val="false"/>
          <w:smallCaps w:val="false"/>
          <w:strike w:val="false"/>
          <w:dstrike w:val="false"/>
          <w:color w:val="000000"/>
          <w:kern w:val="2"/>
          <w:sz w:val="24"/>
          <w:szCs w:val="24"/>
          <w:u w:val="single"/>
          <w:effect w:val="none"/>
          <w:shd w:fill="FFFFFF" w:val="clear"/>
          <w:lang w:val="es-CO" w:eastAsia="ar-SA" w:bidi="ar-SA"/>
        </w:rPr>
        <w:t>6,31% de las viviendas visitadas se encontraron positivas</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 es decir, casi 6 de cada 100 viviendas visitadas tuvieron al menos un criaderos de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Teniendo en cuenta lo anterior,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suppressAutoHyphens w:val="true"/>
        <w:bidi w:val="0"/>
        <w:spacing w:lineRule="auto" w:line="240" w:before="0" w:after="0"/>
        <w:ind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Unicode MS" w:cs="Times New Roman" w:ascii="Arial" w:hAnsi="Arial"/>
          <w:b w:val="false"/>
          <w:i w:val="false"/>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En lo que se refiere a la fumigación en la Institución Técnica Comercial Hernando Navia Varon, se realizo fumigación durante el último trimestre del 2024, con 8 controles en este periodo, por parte de la Empresa TECNISEC de Colombia Ltda., como parte del Plan de Contingencia de Dengue establecido por la Secretaría de Salud Distrital debido a la epidemia en la ciudad.</w:t>
      </w: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Con lo anterior se da respuesta de fondo a su solicitud, no obstante, estaremos atentos en caso de requerir información adicional.</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
        <w:rPr>
          <w:rFonts w:ascii="Arial" w:hAnsi="Arial" w:cs="Arial"/>
          <w:sz w:val="16"/>
          <w:szCs w:val="16"/>
        </w:rPr>
      </w:pPr>
      <w:r>
        <w:rPr>
          <w:rFonts w:cs="Arial" w:ascii="Arial" w:hAnsi="Arial"/>
          <w:sz w:val="16"/>
          <w:szCs w:val="16"/>
        </w:rPr>
      </w:r>
    </w:p>
    <w:p>
      <w:pPr>
        <w:pStyle w:val="NormalWeb"/>
        <w:spacing w:beforeAutospacing="0" w:before="0" w:after="0"/>
        <w:rPr/>
      </w:pPr>
      <w:r>
        <w:rPr>
          <w:rFonts w:cs="Arial" w:ascii="Arial" w:hAnsi="Arial"/>
          <w:sz w:val="16"/>
          <w:szCs w:val="16"/>
          <w:lang w:val="es-ES"/>
        </w:rPr>
        <w:t xml:space="preserve">Proyectó: </w:t>
      </w:r>
      <w:r>
        <w:rPr>
          <w:rFonts w:eastAsia="Times New Roman" w:cs="Arial" w:ascii="Arial" w:hAnsi="Arial"/>
          <w:color w:val="auto"/>
          <w:kern w:val="0"/>
          <w:sz w:val="16"/>
          <w:szCs w:val="16"/>
          <w:lang w:val="es-ES" w:eastAsia="es-CO" w:bidi="ar-SA"/>
        </w:rPr>
        <w:t xml:space="preserve">Clara Inés Solis Sandoval – Contratista </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 Contratista </w:t>
      </w:r>
    </w:p>
    <w:p>
      <w:pPr>
        <w:pStyle w:val="NormalWeb"/>
        <w:suppressAutoHyphens w:val="true"/>
        <w:spacing w:beforeAutospacing="0" w:before="0" w:after="0"/>
        <w:jc w:val="both"/>
        <w:rPr>
          <w:rFonts w:ascii="Arial" w:hAnsi="Arial" w:cs="Arial"/>
          <w:color w:val="000000"/>
          <w:sz w:val="16"/>
          <w:szCs w:val="16"/>
          <w:shd w:fill="FFFFFF" w:val="clear"/>
          <w:lang w:val="es-ES"/>
        </w:rPr>
      </w:pPr>
      <w:r>
        <w:rPr>
          <w:rFonts w:cs="Arial" w:ascii="Arial" w:hAnsi="Arial"/>
          <w:color w:val="000000"/>
          <w:sz w:val="16"/>
          <w:szCs w:val="16"/>
          <w:shd w:fill="FFFFFF" w:val="clear"/>
          <w:lang w:val="es-ES"/>
        </w:rPr>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3">
        <w:r>
          <w:rPr>
            <w:rStyle w:val="EnlacedeInternet"/>
            <w:rFonts w:cs="Arial" w:ascii="Arial" w:hAnsi="Arial"/>
            <w:color w:val="000000"/>
            <w:sz w:val="16"/>
            <w:szCs w:val="16"/>
            <w:shd w:fill="FFFFFF" w:val="clear"/>
          </w:rPr>
          <w:t>http://www.cali.gov.co/aplicaciones/encuestas_ciudadano/view_encuesta_satisfaccion.p</w:t>
        </w:r>
        <w:bookmarkStart w:id="0" w:name="_GoBack"/>
        <w:bookmarkEnd w:id="0"/>
        <w:r>
          <w:rPr>
            <w:rStyle w:val="EnlacedeInternet"/>
            <w:rFonts w:cs="Arial" w:ascii="Arial" w:hAnsi="Arial"/>
            <w:color w:val="000000"/>
            <w:sz w:val="16"/>
            <w:szCs w:val="16"/>
            <w:shd w:fill="FFFFFF" w:val="clear"/>
          </w:rPr>
          <w:t>hp</w:t>
        </w:r>
      </w:hyperlink>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0" w:after="0"/>
        <w:jc w:val="both"/>
        <w:rPr>
          <w:rFonts w:ascii="Arial" w:hAnsi="Arial" w:cs="Arial"/>
          <w:color w:val="000000"/>
          <w:sz w:val="16"/>
          <w:szCs w:val="16"/>
          <w:shd w:fill="FFFFFF" w:val="clear"/>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6350</wp:posOffset>
              </wp:positionH>
              <wp:positionV relativeFrom="paragraph">
                <wp:posOffset>7264400</wp:posOffset>
              </wp:positionV>
              <wp:extent cx="1044575" cy="698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4000" cy="648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5pt;height:0.4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column">
            <wp:posOffset>-100965</wp:posOffset>
          </wp:positionH>
          <wp:positionV relativeFrom="paragraph">
            <wp:posOffset>81280</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1">
              <wp:simplePos x="0" y="0"/>
              <wp:positionH relativeFrom="margin">
                <wp:posOffset>3402965</wp:posOffset>
              </wp:positionH>
              <wp:positionV relativeFrom="paragraph">
                <wp:posOffset>33020</wp:posOffset>
              </wp:positionV>
              <wp:extent cx="2531745" cy="1022985"/>
              <wp:effectExtent l="0" t="0" r="0" b="0"/>
              <wp:wrapSquare wrapText="bothSides"/>
              <wp:docPr id="2" name="Marco2"/>
              <a:graphic xmlns:a="http://schemas.openxmlformats.org/drawingml/2006/main">
                <a:graphicData uri="http://schemas.microsoft.com/office/word/2010/wordprocessingShape">
                  <wps:wsp>
                    <wps:cNvSpPr/>
                    <wps:spPr>
                      <a:xfrm>
                        <a:off x="0" y="0"/>
                        <a:ext cx="2531160" cy="1022400"/>
                      </a:xfrm>
                      <a:prstGeom prst="rect">
                        <a:avLst/>
                      </a:prstGeom>
                      <a:solidFill>
                        <a:srgbClr val="ffffff"/>
                      </a:solidFill>
                      <a:ln w="0">
                        <a:noFill/>
                      </a:ln>
                    </wps:spPr>
                    <wps:style>
                      <a:lnRef idx="0"/>
                      <a:fillRef idx="0"/>
                      <a:effectRef idx="0"/>
                      <a:fontRef idx="minor"/>
                    </wps:style>
                    <wps:txb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*202541450200001994*</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202541450200001994</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2025-01-31</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4145.020.13.1.953.000199</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202441734120000534</w:t>
                          </w:r>
                        </w:p>
                      </w:txbxContent>
                    </wps:txbx>
                    <wps:bodyPr lIns="0" rIns="0" tIns="0" bIns="0">
                      <a:noAutofit/>
                    </wps:bodyPr>
                  </wps:wsp>
                </a:graphicData>
              </a:graphic>
            </wp:anchor>
          </w:drawing>
        </mc:Choice>
        <mc:Fallback>
          <w:pict>
            <v:rect id="shape_0" ID="Marco2" fillcolor="white" stroked="f" style="position:absolute;margin-left:267.95pt;margin-top:2.6pt;width:199.25pt;height:80.45pt;mso-wrap-style:square;v-text-anchor:top;mso-position-horizontal-relative:margin">
              <v:fill o:detectmouseclick="t" type="solid" color2="black"/>
              <v:stroke color="#3465a4" joinstyle="round" endcap="flat"/>
              <v:textbo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*202541450200001994*</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202541450200001994</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2025-01-31</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4145.020.13.1.953.000199</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202441734120000534</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408"/>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408"/>
        <w:tab w:val="center" w:pos="4818" w:leader="none"/>
        <w:tab w:val="right" w:pos="9637" w:leader="none"/>
      </w:tabs>
    </w:pPr>
    <w:rPr/>
  </w:style>
  <w:style w:type="paragraph" w:styleId="Piedepgina">
    <w:name w:val="Footer"/>
    <w:basedOn w:val="Normal"/>
    <w:pPr>
      <w:suppressLineNumbers/>
      <w:tabs>
        <w:tab w:val="clear" w:pos="408"/>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Application>LibreOffice/7.0.3.1$Windows_X86_64 LibreOffice_project/d7547858d014d4cf69878db179d326fc3483e082</Application>
  <Pages>3</Pages>
  <Words>1156</Words>
  <Characters>6303</Characters>
  <CharactersWithSpaces>7456</CharactersWithSpaces>
  <Paragraphs>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2025-01-31T18:17:08Z</dcterms:modified>
  <cp:revision>39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